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510"/>
        <w:gridCol w:w="3960"/>
      </w:tblGrid>
      <w:tr w:rsidR="00202C31" w:rsidRPr="004241B7" w:rsidTr="000D3772">
        <w:tc>
          <w:tcPr>
            <w:tcW w:w="1800" w:type="dxa"/>
          </w:tcPr>
          <w:p w:rsidR="00202C31" w:rsidRPr="004241B7" w:rsidRDefault="004B234A" w:rsidP="00C96163">
            <w:pPr>
              <w:jc w:val="center"/>
              <w:rPr>
                <w:rFonts w:asciiTheme="minorHAnsi" w:hAnsiTheme="minorHAnsi"/>
                <w:sz w:val="22"/>
                <w:szCs w:val="22"/>
                <w:lang w:val="sv-SE"/>
              </w:rPr>
            </w:pPr>
            <w:r>
              <w:rPr>
                <w:b/>
                <w:noProof/>
              </w:rPr>
              <w:drawing>
                <wp:inline distT="0" distB="0" distL="0" distR="0" wp14:anchorId="6B1FAC27" wp14:editId="391C5173">
                  <wp:extent cx="647700" cy="608965"/>
                  <wp:effectExtent l="0" t="0" r="0" b="635"/>
                  <wp:docPr id="1" name="Picture 1" descr="H:\Shared drives\FILE BPM\LPM UNIVERSITAS TRIATMA MULYA\LOGO UNTRIM BAR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Shared drives\FILE BPM\LPM UNIVERSITAS TRIATMA MULYA\LOGO UNTRIM BAR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260" cy="6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:rsidR="00202C31" w:rsidRDefault="00202C31" w:rsidP="00C96163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sv-SE"/>
              </w:rPr>
            </w:pPr>
          </w:p>
          <w:p w:rsidR="00202C31" w:rsidRPr="000D3772" w:rsidRDefault="004B234A" w:rsidP="00C96163">
            <w:pPr>
              <w:jc w:val="center"/>
              <w:rPr>
                <w:rFonts w:asciiTheme="minorHAnsi" w:hAnsiTheme="minorHAnsi"/>
                <w:lang w:val="sv-SE"/>
              </w:rPr>
            </w:pPr>
            <w:r w:rsidRPr="000D3772">
              <w:rPr>
                <w:rFonts w:asciiTheme="minorHAnsi" w:hAnsiTheme="minorHAnsi"/>
                <w:b/>
                <w:bCs/>
                <w:lang w:val="sv-SE"/>
              </w:rPr>
              <w:t xml:space="preserve">UNIVERSITAS </w:t>
            </w:r>
            <w:r w:rsidR="00202C31" w:rsidRPr="000D3772">
              <w:rPr>
                <w:rFonts w:asciiTheme="minorHAnsi" w:hAnsiTheme="minorHAnsi"/>
                <w:b/>
                <w:bCs/>
                <w:lang w:val="sv-SE"/>
              </w:rPr>
              <w:t xml:space="preserve"> TRIATMA MULYA</w:t>
            </w:r>
          </w:p>
        </w:tc>
        <w:tc>
          <w:tcPr>
            <w:tcW w:w="3960" w:type="dxa"/>
          </w:tcPr>
          <w:p w:rsidR="00202C31" w:rsidRPr="004241B7" w:rsidRDefault="00202C31" w:rsidP="00C96163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sv-SE"/>
              </w:rPr>
            </w:pPr>
            <w:r w:rsidRPr="004241B7">
              <w:rPr>
                <w:rFonts w:asciiTheme="minorHAnsi" w:hAnsiTheme="minorHAnsi"/>
                <w:b/>
                <w:bCs/>
                <w:sz w:val="22"/>
                <w:szCs w:val="22"/>
                <w:lang w:val="sv-SE"/>
              </w:rPr>
              <w:t>KODE SOP :</w:t>
            </w:r>
            <w:r w:rsidR="00295A2E">
              <w:rPr>
                <w:rFonts w:asciiTheme="minorHAnsi" w:hAnsiTheme="minorHAnsi"/>
                <w:b/>
                <w:bCs/>
                <w:sz w:val="22"/>
                <w:szCs w:val="22"/>
                <w:lang w:val="sv-SE"/>
              </w:rPr>
              <w:t xml:space="preserve"> SOP/BAAK/08</w:t>
            </w:r>
          </w:p>
          <w:p w:rsidR="00202C31" w:rsidRPr="004241B7" w:rsidRDefault="00202C31" w:rsidP="00C9616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202C31" w:rsidRPr="004241B7" w:rsidRDefault="00202C31" w:rsidP="00C9616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02C31" w:rsidRPr="004241B7" w:rsidTr="00C96163">
        <w:tc>
          <w:tcPr>
            <w:tcW w:w="5310" w:type="dxa"/>
            <w:gridSpan w:val="2"/>
            <w:tcBorders>
              <w:bottom w:val="single" w:sz="4" w:space="0" w:color="auto"/>
            </w:tcBorders>
          </w:tcPr>
          <w:p w:rsidR="00202C31" w:rsidRPr="007B00BC" w:rsidRDefault="00202C31" w:rsidP="00C96163">
            <w:pPr>
              <w:jc w:val="center"/>
              <w:rPr>
                <w:rFonts w:asciiTheme="minorHAnsi" w:hAnsiTheme="minorHAnsi"/>
                <w:b/>
              </w:rPr>
            </w:pPr>
            <w:r w:rsidRPr="007B00BC">
              <w:rPr>
                <w:rFonts w:asciiTheme="minorHAnsi" w:hAnsiTheme="minorHAnsi"/>
                <w:b/>
              </w:rPr>
              <w:t>PROSEDUR SPMI</w:t>
            </w:r>
          </w:p>
        </w:tc>
        <w:tc>
          <w:tcPr>
            <w:tcW w:w="3960" w:type="dxa"/>
          </w:tcPr>
          <w:p w:rsidR="00202C31" w:rsidRDefault="00202C31" w:rsidP="00C96163">
            <w:pPr>
              <w:jc w:val="both"/>
              <w:rPr>
                <w:rFonts w:asciiTheme="minorHAnsi" w:hAnsiTheme="minorHAnsi"/>
                <w:sz w:val="22"/>
                <w:szCs w:val="22"/>
                <w:lang w:val="fi-FI"/>
              </w:rPr>
            </w:pPr>
            <w:r w:rsidRPr="004241B7">
              <w:rPr>
                <w:rFonts w:asciiTheme="minorHAnsi" w:hAnsiTheme="minorHAnsi"/>
                <w:sz w:val="22"/>
                <w:szCs w:val="22"/>
                <w:lang w:val="fi-FI"/>
              </w:rPr>
              <w:t xml:space="preserve">Tanggal Ditetapkan  : </w:t>
            </w:r>
            <w:bookmarkStart w:id="0" w:name="_GoBack"/>
            <w:bookmarkEnd w:id="0"/>
          </w:p>
          <w:p w:rsidR="00202C31" w:rsidRPr="004241B7" w:rsidRDefault="00202C31" w:rsidP="00C96163">
            <w:pPr>
              <w:jc w:val="both"/>
              <w:rPr>
                <w:rFonts w:asciiTheme="minorHAnsi" w:hAnsiTheme="minorHAnsi"/>
                <w:sz w:val="22"/>
                <w:szCs w:val="22"/>
                <w:lang w:val="fi-FI"/>
              </w:rPr>
            </w:pPr>
          </w:p>
        </w:tc>
      </w:tr>
    </w:tbl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310"/>
        <w:gridCol w:w="3960"/>
      </w:tblGrid>
      <w:tr w:rsidR="00202C31" w:rsidRPr="004241B7" w:rsidTr="00C96163">
        <w:tc>
          <w:tcPr>
            <w:tcW w:w="5310" w:type="dxa"/>
            <w:tcBorders>
              <w:bottom w:val="nil"/>
            </w:tcBorders>
          </w:tcPr>
          <w:p w:rsidR="00202C31" w:rsidRPr="004241B7" w:rsidRDefault="00202C31" w:rsidP="00C96163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fi-FI"/>
              </w:rPr>
            </w:pPr>
            <w:r w:rsidRPr="004241B7">
              <w:rPr>
                <w:rFonts w:asciiTheme="minorHAnsi" w:hAnsiTheme="minorHAnsi"/>
                <w:b/>
                <w:bCs/>
                <w:sz w:val="22"/>
                <w:szCs w:val="22"/>
                <w:lang w:val="fi-FI"/>
              </w:rPr>
              <w:t xml:space="preserve">JUDUL </w:t>
            </w:r>
          </w:p>
          <w:p w:rsidR="00202C31" w:rsidRPr="00014E11" w:rsidRDefault="00202C31" w:rsidP="00202C3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fi-FI"/>
              </w:rPr>
              <w:t>PROSEDUR RECRUITMENT ON CAMPUS</w:t>
            </w:r>
          </w:p>
        </w:tc>
        <w:tc>
          <w:tcPr>
            <w:tcW w:w="3960" w:type="dxa"/>
          </w:tcPr>
          <w:p w:rsidR="00202C31" w:rsidRPr="004241B7" w:rsidRDefault="00202C31" w:rsidP="00C96163">
            <w:pPr>
              <w:rPr>
                <w:rFonts w:asciiTheme="minorHAnsi" w:hAnsiTheme="minorHAnsi"/>
              </w:rPr>
            </w:pPr>
            <w:r w:rsidRPr="004241B7">
              <w:rPr>
                <w:rFonts w:asciiTheme="minorHAnsi" w:hAnsiTheme="minorHAnsi"/>
              </w:rPr>
              <w:t xml:space="preserve">Tanggal Revisi </w:t>
            </w:r>
            <w:r>
              <w:rPr>
                <w:rFonts w:asciiTheme="minorHAnsi" w:hAnsiTheme="minorHAnsi"/>
              </w:rPr>
              <w:t>:</w:t>
            </w:r>
            <w:r w:rsidR="00295A2E">
              <w:rPr>
                <w:rFonts w:asciiTheme="minorHAnsi" w:hAnsiTheme="minorHAnsi"/>
              </w:rPr>
              <w:t xml:space="preserve"> -</w:t>
            </w:r>
          </w:p>
        </w:tc>
      </w:tr>
      <w:tr w:rsidR="00202C31" w:rsidRPr="004241B7" w:rsidTr="00C96163">
        <w:tc>
          <w:tcPr>
            <w:tcW w:w="5310" w:type="dxa"/>
            <w:tcBorders>
              <w:top w:val="nil"/>
            </w:tcBorders>
          </w:tcPr>
          <w:p w:rsidR="00202C31" w:rsidRPr="004241B7" w:rsidRDefault="00202C31" w:rsidP="00C96163">
            <w:pPr>
              <w:rPr>
                <w:rFonts w:asciiTheme="minorHAnsi" w:hAnsiTheme="minorHAnsi"/>
              </w:rPr>
            </w:pPr>
          </w:p>
        </w:tc>
        <w:tc>
          <w:tcPr>
            <w:tcW w:w="3960" w:type="dxa"/>
          </w:tcPr>
          <w:p w:rsidR="00202C31" w:rsidRDefault="00202C31" w:rsidP="00C961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Halaman :</w:t>
            </w:r>
            <w:r w:rsidR="00295A2E">
              <w:rPr>
                <w:rFonts w:asciiTheme="minorHAnsi" w:hAnsiTheme="minorHAnsi"/>
              </w:rPr>
              <w:t xml:space="preserve"> 1 dari 4</w:t>
            </w:r>
          </w:p>
          <w:p w:rsidR="00202C31" w:rsidRPr="004241B7" w:rsidRDefault="00202C31" w:rsidP="00C96163">
            <w:pPr>
              <w:rPr>
                <w:rFonts w:asciiTheme="minorHAnsi" w:hAnsiTheme="minorHAnsi"/>
              </w:rPr>
            </w:pPr>
          </w:p>
        </w:tc>
      </w:tr>
    </w:tbl>
    <w:p w:rsidR="00202C31" w:rsidRPr="004241B7" w:rsidRDefault="00202C31" w:rsidP="00202C31">
      <w:pPr>
        <w:rPr>
          <w:rFonts w:asciiTheme="minorHAnsi" w:hAnsiTheme="minorHAnsi"/>
        </w:rPr>
      </w:pPr>
    </w:p>
    <w:p w:rsidR="00202C31" w:rsidRPr="004241B7" w:rsidRDefault="00202C31" w:rsidP="00202C31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6678"/>
      </w:tblGrid>
      <w:tr w:rsidR="00202C31" w:rsidRPr="00124DD5" w:rsidTr="00C96163">
        <w:tc>
          <w:tcPr>
            <w:tcW w:w="2898" w:type="dxa"/>
          </w:tcPr>
          <w:p w:rsidR="00202C31" w:rsidRPr="00B73FE1" w:rsidRDefault="00202C31" w:rsidP="00C9616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73FE1">
              <w:rPr>
                <w:rFonts w:asciiTheme="minorHAnsi" w:hAnsiTheme="minorHAnsi"/>
                <w:b/>
                <w:sz w:val="22"/>
                <w:szCs w:val="22"/>
              </w:rPr>
              <w:t>1.  Tujuan Prosedur</w:t>
            </w:r>
          </w:p>
        </w:tc>
        <w:tc>
          <w:tcPr>
            <w:tcW w:w="6678" w:type="dxa"/>
          </w:tcPr>
          <w:p w:rsidR="00202C31" w:rsidRDefault="00202C31" w:rsidP="00C756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02C31">
              <w:rPr>
                <w:rFonts w:asciiTheme="minorHAnsi" w:eastAsiaTheme="minorHAnsi" w:hAnsiTheme="minorHAnsi"/>
                <w:sz w:val="22"/>
                <w:szCs w:val="22"/>
              </w:rPr>
              <w:t xml:space="preserve">Recruitment on campus oleh perusahaan-perusahaan yang 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m</w:t>
            </w:r>
            <w:r w:rsidRPr="00202C31">
              <w:rPr>
                <w:rFonts w:asciiTheme="minorHAnsi" w:eastAsiaTheme="minorHAnsi" w:hAnsiTheme="minorHAnsi"/>
                <w:sz w:val="22"/>
                <w:szCs w:val="22"/>
              </w:rPr>
              <w:t>embutuhkan tenaga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 w:rsidRPr="00202C31">
              <w:rPr>
                <w:rFonts w:asciiTheme="minorHAnsi" w:eastAsiaTheme="minorHAnsi" w:hAnsiTheme="minorHAnsi"/>
                <w:sz w:val="22"/>
                <w:szCs w:val="22"/>
              </w:rPr>
              <w:t xml:space="preserve">kerja lulusan </w:t>
            </w:r>
            <w:r w:rsidR="004B234A">
              <w:rPr>
                <w:rFonts w:asciiTheme="minorHAnsi" w:eastAsiaTheme="minorHAnsi" w:hAnsiTheme="minorHAnsi"/>
                <w:sz w:val="22"/>
                <w:szCs w:val="22"/>
              </w:rPr>
              <w:t>Universitas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Triatma Mulya </w:t>
            </w:r>
            <w:r w:rsidRPr="00202C31">
              <w:rPr>
                <w:rFonts w:asciiTheme="minorHAnsi" w:eastAsiaTheme="minorHAnsi" w:hAnsiTheme="minorHAnsi"/>
                <w:sz w:val="22"/>
                <w:szCs w:val="22"/>
              </w:rPr>
              <w:t xml:space="preserve"> merupakan wujud keperdulian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 w:rsidR="004B234A">
              <w:rPr>
                <w:rFonts w:asciiTheme="minorHAnsi" w:eastAsiaTheme="minorHAnsi" w:hAnsiTheme="minorHAnsi"/>
                <w:sz w:val="22"/>
                <w:szCs w:val="22"/>
              </w:rPr>
              <w:t xml:space="preserve">Universitas 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Triatma Mulya</w:t>
            </w:r>
            <w:r w:rsidRPr="00202C31">
              <w:rPr>
                <w:rFonts w:asciiTheme="minorHAnsi" w:eastAsiaTheme="minorHAnsi" w:hAnsiTheme="minorHAnsi"/>
                <w:sz w:val="22"/>
                <w:szCs w:val="22"/>
              </w:rPr>
              <w:t xml:space="preserve"> terhadap para calon lulusan maupun alumni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 w:rsidRPr="00202C31">
              <w:rPr>
                <w:rFonts w:asciiTheme="minorHAnsi" w:eastAsiaTheme="minorHAnsi" w:hAnsiTheme="minorHAnsi"/>
                <w:sz w:val="22"/>
                <w:szCs w:val="22"/>
              </w:rPr>
              <w:t>dalam rangka memudahkan mereka agar dapat dengan cepat memperoleh kerja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 w:rsidRPr="00202C31">
              <w:rPr>
                <w:rFonts w:asciiTheme="minorHAnsi" w:eastAsiaTheme="minorHAnsi" w:hAnsiTheme="minorHAnsi"/>
                <w:sz w:val="22"/>
                <w:szCs w:val="22"/>
              </w:rPr>
              <w:t>setelah mereka dinyatakan lulus tugas akhir. Prosedur Recruitment on campus di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 w:rsidRPr="00202C31">
              <w:rPr>
                <w:rFonts w:asciiTheme="minorHAnsi" w:eastAsiaTheme="minorHAnsi" w:hAnsiTheme="minorHAnsi"/>
                <w:sz w:val="22"/>
                <w:szCs w:val="22"/>
              </w:rPr>
              <w:t xml:space="preserve">career center 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(Bursa Kerja) </w:t>
            </w:r>
            <w:r w:rsidRPr="00202C31">
              <w:rPr>
                <w:rFonts w:asciiTheme="minorHAnsi" w:eastAsiaTheme="minorHAnsi" w:hAnsiTheme="minorHAnsi"/>
                <w:sz w:val="22"/>
                <w:szCs w:val="22"/>
              </w:rPr>
              <w:t>dimaksudkan sebagai pedoman bagi seluruh perusahaan agar semua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 w:rsidRPr="00202C31">
              <w:rPr>
                <w:rFonts w:asciiTheme="minorHAnsi" w:eastAsiaTheme="minorHAnsi" w:hAnsiTheme="minorHAnsi"/>
                <w:sz w:val="22"/>
                <w:szCs w:val="22"/>
              </w:rPr>
              <w:t>kegiatan recruitment dapat dikoordinasikan dengan baik antara pihak Perusahaan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 w:rsidRPr="00202C31">
              <w:rPr>
                <w:rFonts w:asciiTheme="minorHAnsi" w:eastAsiaTheme="minorHAnsi" w:hAnsiTheme="minorHAnsi"/>
                <w:sz w:val="22"/>
                <w:szCs w:val="22"/>
              </w:rPr>
              <w:t>sebagi pencari lulusan (tenaga kerja/SDM) dengan Career Center sebagai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 w:rsidRPr="00202C31">
              <w:rPr>
                <w:rFonts w:asciiTheme="minorHAnsi" w:eastAsiaTheme="minorHAnsi" w:hAnsiTheme="minorHAnsi"/>
                <w:sz w:val="22"/>
                <w:szCs w:val="22"/>
              </w:rPr>
              <w:t xml:space="preserve">lembaga di </w:t>
            </w:r>
            <w:r w:rsidR="004B234A">
              <w:rPr>
                <w:rFonts w:asciiTheme="minorHAnsi" w:eastAsiaTheme="minorHAnsi" w:hAnsiTheme="minorHAnsi"/>
                <w:sz w:val="22"/>
                <w:szCs w:val="22"/>
              </w:rPr>
              <w:t xml:space="preserve">universitas </w:t>
            </w:r>
            <w:r w:rsidRPr="00202C31">
              <w:rPr>
                <w:rFonts w:asciiTheme="minorHAnsi" w:eastAsiaTheme="minorHAnsi" w:hAnsiTheme="minorHAnsi"/>
                <w:sz w:val="22"/>
                <w:szCs w:val="22"/>
              </w:rPr>
              <w:t xml:space="preserve"> yang menjadi media 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(</w:t>
            </w:r>
            <w:r w:rsidRPr="00202C31">
              <w:rPr>
                <w:rFonts w:asciiTheme="minorHAnsi" w:eastAsiaTheme="minorHAnsi" w:hAnsiTheme="minorHAnsi"/>
                <w:sz w:val="22"/>
                <w:szCs w:val="22"/>
              </w:rPr>
              <w:t>penghubung) bagi para lulusan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 w:rsidRPr="00202C31">
              <w:rPr>
                <w:rFonts w:asciiTheme="minorHAnsi" w:eastAsiaTheme="minorHAnsi" w:hAnsiTheme="minorHAnsi"/>
                <w:sz w:val="22"/>
                <w:szCs w:val="22"/>
              </w:rPr>
              <w:t>ataupun mahasiswa tingkat akhir ke dunia kerja (perusahaan).</w:t>
            </w:r>
          </w:p>
          <w:p w:rsidR="00295A2E" w:rsidRPr="00202C31" w:rsidRDefault="00295A2E" w:rsidP="00C756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02C31" w:rsidRPr="007B00BC" w:rsidTr="00C96163">
        <w:tc>
          <w:tcPr>
            <w:tcW w:w="2898" w:type="dxa"/>
          </w:tcPr>
          <w:p w:rsidR="00202C31" w:rsidRPr="00B73FE1" w:rsidRDefault="00202C31" w:rsidP="00C96163">
            <w:pPr>
              <w:ind w:left="270" w:hanging="270"/>
              <w:rPr>
                <w:rFonts w:asciiTheme="minorHAnsi" w:hAnsiTheme="minorHAnsi"/>
                <w:b/>
              </w:rPr>
            </w:pPr>
            <w:r w:rsidRPr="00B73FE1">
              <w:rPr>
                <w:rFonts w:asciiTheme="minorHAnsi" w:hAnsiTheme="minorHAnsi"/>
                <w:b/>
              </w:rPr>
              <w:t>2.  Luas Lingkup Prosedur dan Penggunaannya</w:t>
            </w:r>
          </w:p>
        </w:tc>
        <w:tc>
          <w:tcPr>
            <w:tcW w:w="6678" w:type="dxa"/>
          </w:tcPr>
          <w:p w:rsidR="00202C31" w:rsidRDefault="00765B30" w:rsidP="00C756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765B30">
              <w:rPr>
                <w:rFonts w:asciiTheme="minorHAnsi" w:eastAsiaTheme="minorHAnsi" w:hAnsiTheme="minorHAnsi"/>
                <w:sz w:val="22"/>
                <w:szCs w:val="22"/>
              </w:rPr>
              <w:t>Recruitment on campus dapat dilakukan setelah ada persetujuan antara pihak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 w:rsidRPr="00765B30">
              <w:rPr>
                <w:rFonts w:asciiTheme="minorHAnsi" w:eastAsiaTheme="minorHAnsi" w:hAnsiTheme="minorHAnsi"/>
                <w:sz w:val="22"/>
                <w:szCs w:val="22"/>
              </w:rPr>
              <w:t>Career Center dengan perusahaan secara tertulis (perusahaan membuat surat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 w:rsidRPr="00765B30">
              <w:rPr>
                <w:rFonts w:asciiTheme="minorHAnsi" w:eastAsiaTheme="minorHAnsi" w:hAnsiTheme="minorHAnsi"/>
                <w:sz w:val="22"/>
                <w:szCs w:val="22"/>
              </w:rPr>
              <w:t>permohonan terlebih dahulu) mengenai waktu, tempat dan jumlah peserta, dan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 w:rsidRPr="00765B30">
              <w:rPr>
                <w:rFonts w:asciiTheme="minorHAnsi" w:eastAsiaTheme="minorHAnsi" w:hAnsiTheme="minorHAnsi"/>
                <w:sz w:val="22"/>
                <w:szCs w:val="22"/>
              </w:rPr>
              <w:t>pada pelaksanaannya recruitment on campus hanya boleh diikutsertakan oleh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 w:rsidRPr="00765B30">
              <w:rPr>
                <w:rFonts w:asciiTheme="minorHAnsi" w:eastAsiaTheme="minorHAnsi" w:hAnsiTheme="minorHAnsi"/>
                <w:sz w:val="22"/>
                <w:szCs w:val="22"/>
              </w:rPr>
              <w:t>alum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ni / lulusan yang berasal dari </w:t>
            </w:r>
            <w:r w:rsidR="00A439A4">
              <w:rPr>
                <w:rFonts w:asciiTheme="minorHAnsi" w:eastAsiaTheme="minorHAnsi" w:hAnsiTheme="minorHAnsi"/>
                <w:sz w:val="22"/>
                <w:szCs w:val="22"/>
              </w:rPr>
              <w:t xml:space="preserve">Universitas 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Triatma Mulya.</w:t>
            </w:r>
          </w:p>
          <w:p w:rsidR="00295A2E" w:rsidRPr="00A80773" w:rsidRDefault="00295A2E" w:rsidP="00C756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</w:tr>
      <w:tr w:rsidR="00202C31" w:rsidRPr="007B00BC" w:rsidTr="00C96163">
        <w:tc>
          <w:tcPr>
            <w:tcW w:w="2898" w:type="dxa"/>
          </w:tcPr>
          <w:p w:rsidR="00202C31" w:rsidRPr="00B73FE1" w:rsidRDefault="00202C31" w:rsidP="00C96163">
            <w:pPr>
              <w:rPr>
                <w:rFonts w:asciiTheme="minorHAnsi" w:hAnsiTheme="minorHAnsi"/>
                <w:b/>
              </w:rPr>
            </w:pPr>
            <w:r w:rsidRPr="00B73FE1">
              <w:rPr>
                <w:rFonts w:asciiTheme="minorHAnsi" w:hAnsiTheme="minorHAnsi"/>
                <w:b/>
              </w:rPr>
              <w:t>3.  Standar</w:t>
            </w:r>
          </w:p>
          <w:p w:rsidR="00202C31" w:rsidRPr="00B73FE1" w:rsidRDefault="00202C31" w:rsidP="00C9616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678" w:type="dxa"/>
          </w:tcPr>
          <w:p w:rsidR="00202C31" w:rsidRPr="00A80773" w:rsidRDefault="00C75686" w:rsidP="00C756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Standar kerjasama</w:t>
            </w:r>
          </w:p>
        </w:tc>
      </w:tr>
      <w:tr w:rsidR="00202C31" w:rsidRPr="007B00BC" w:rsidTr="00C96163">
        <w:tc>
          <w:tcPr>
            <w:tcW w:w="2898" w:type="dxa"/>
          </w:tcPr>
          <w:p w:rsidR="00202C31" w:rsidRPr="00B73FE1" w:rsidRDefault="00202C31" w:rsidP="00C96163">
            <w:pPr>
              <w:rPr>
                <w:rFonts w:asciiTheme="minorHAnsi" w:hAnsiTheme="minorHAnsi"/>
                <w:b/>
              </w:rPr>
            </w:pPr>
            <w:r w:rsidRPr="00B73FE1">
              <w:rPr>
                <w:rFonts w:asciiTheme="minorHAnsi" w:hAnsiTheme="minorHAnsi"/>
                <w:b/>
              </w:rPr>
              <w:t>4.  Defenisi</w:t>
            </w:r>
          </w:p>
          <w:p w:rsidR="00202C31" w:rsidRPr="00B73FE1" w:rsidRDefault="00202C31" w:rsidP="00C96163">
            <w:pPr>
              <w:rPr>
                <w:rFonts w:asciiTheme="minorHAnsi" w:hAnsiTheme="minorHAnsi"/>
                <w:b/>
              </w:rPr>
            </w:pPr>
          </w:p>
          <w:p w:rsidR="00202C31" w:rsidRPr="00B73FE1" w:rsidRDefault="00202C31" w:rsidP="00C9616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678" w:type="dxa"/>
          </w:tcPr>
          <w:p w:rsidR="00765B30" w:rsidRDefault="00765B30" w:rsidP="00C7568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765B30">
              <w:rPr>
                <w:rFonts w:asciiTheme="minorHAnsi" w:eastAsiaTheme="minorHAnsi" w:hAnsiTheme="minorHAnsi"/>
                <w:sz w:val="22"/>
                <w:szCs w:val="22"/>
              </w:rPr>
              <w:t>1) Recruitment on Campus, suatu kegiatan test masuk kerja bagi lulusan</w:t>
            </w:r>
          </w:p>
          <w:p w:rsidR="00765B30" w:rsidRPr="00765B30" w:rsidRDefault="00765B30" w:rsidP="00C75686">
            <w:pPr>
              <w:autoSpaceDE w:val="0"/>
              <w:autoSpaceDN w:val="0"/>
              <w:adjustRightInd w:val="0"/>
              <w:spacing w:line="276" w:lineRule="auto"/>
              <w:ind w:left="221" w:hanging="221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    </w:t>
            </w:r>
            <w:r w:rsidRPr="00765B30">
              <w:rPr>
                <w:rFonts w:asciiTheme="minorHAnsi" w:eastAsiaTheme="minorHAnsi" w:hAnsiTheme="minorHAnsi"/>
                <w:sz w:val="22"/>
                <w:szCs w:val="22"/>
              </w:rPr>
              <w:t>ataupun mahasiswa tingkat akhir yang dilakukan oleh perusahaan yang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 w:rsidRPr="00765B30">
              <w:rPr>
                <w:rFonts w:asciiTheme="minorHAnsi" w:eastAsiaTheme="minorHAnsi" w:hAnsiTheme="minorHAnsi"/>
                <w:sz w:val="22"/>
                <w:szCs w:val="22"/>
              </w:rPr>
              <w:t xml:space="preserve">membutuhkan tenaga-tenaga fresh graduate maupun yang 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b</w:t>
            </w:r>
            <w:r w:rsidRPr="00765B30">
              <w:rPr>
                <w:rFonts w:asciiTheme="minorHAnsi" w:eastAsiaTheme="minorHAnsi" w:hAnsiTheme="minorHAnsi"/>
                <w:sz w:val="22"/>
                <w:szCs w:val="22"/>
              </w:rPr>
              <w:t>erpengalaman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 w:rsidRPr="00765B30">
              <w:rPr>
                <w:rFonts w:asciiTheme="minorHAnsi" w:eastAsiaTheme="minorHAnsi" w:hAnsiTheme="minorHAnsi"/>
                <w:sz w:val="22"/>
                <w:szCs w:val="22"/>
              </w:rPr>
              <w:t>yang dilakukan di lokasi kampus.</w:t>
            </w:r>
          </w:p>
          <w:p w:rsidR="00765B30" w:rsidRPr="00765B30" w:rsidRDefault="00765B30" w:rsidP="00C75686">
            <w:pPr>
              <w:autoSpaceDE w:val="0"/>
              <w:autoSpaceDN w:val="0"/>
              <w:adjustRightInd w:val="0"/>
              <w:spacing w:line="276" w:lineRule="auto"/>
              <w:ind w:left="221" w:hanging="221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765B30">
              <w:rPr>
                <w:rFonts w:asciiTheme="minorHAnsi" w:eastAsiaTheme="minorHAnsi" w:hAnsiTheme="minorHAnsi"/>
                <w:sz w:val="22"/>
                <w:szCs w:val="22"/>
              </w:rPr>
              <w:t>2) Alumni/lulusan, merupakan mahasiswa yang sudah menyelesaikan masa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studinya di </w:t>
            </w:r>
            <w:r w:rsidR="00A439A4">
              <w:rPr>
                <w:rFonts w:asciiTheme="minorHAnsi" w:eastAsiaTheme="minorHAnsi" w:hAnsiTheme="minorHAnsi"/>
                <w:sz w:val="22"/>
                <w:szCs w:val="22"/>
              </w:rPr>
              <w:t xml:space="preserve">Universitas 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Triatma Mulya</w:t>
            </w:r>
          </w:p>
          <w:p w:rsidR="00765B30" w:rsidRDefault="00765B30" w:rsidP="00C7568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765B30">
              <w:rPr>
                <w:rFonts w:asciiTheme="minorHAnsi" w:eastAsiaTheme="minorHAnsi" w:hAnsiTheme="minorHAnsi"/>
                <w:sz w:val="22"/>
                <w:szCs w:val="22"/>
              </w:rPr>
              <w:t>3) Perusahaan / pencari tenaga kerja, merupakan suatu badan/lembaga</w:t>
            </w:r>
          </w:p>
          <w:p w:rsidR="00765B30" w:rsidRDefault="00765B30" w:rsidP="00C7568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765B30"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   </w:t>
            </w:r>
            <w:r w:rsidRPr="00765B30">
              <w:rPr>
                <w:rFonts w:asciiTheme="minorHAnsi" w:eastAsiaTheme="minorHAnsi" w:hAnsiTheme="minorHAnsi"/>
                <w:sz w:val="22"/>
                <w:szCs w:val="22"/>
              </w:rPr>
              <w:t>baik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 w:rsidRPr="00765B30">
              <w:rPr>
                <w:rFonts w:asciiTheme="minorHAnsi" w:eastAsiaTheme="minorHAnsi" w:hAnsiTheme="minorHAnsi"/>
                <w:sz w:val="22"/>
                <w:szCs w:val="22"/>
              </w:rPr>
              <w:t xml:space="preserve">swasta maupun pemerintah yang membutuhkan tenaga kerja 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  </w:t>
            </w:r>
          </w:p>
          <w:p w:rsidR="00C75686" w:rsidRDefault="00765B30" w:rsidP="00C7568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    </w:t>
            </w:r>
            <w:r w:rsidRPr="00765B30">
              <w:rPr>
                <w:rFonts w:asciiTheme="minorHAnsi" w:eastAsiaTheme="minorHAnsi" w:hAnsiTheme="minorHAnsi"/>
                <w:sz w:val="22"/>
                <w:szCs w:val="22"/>
              </w:rPr>
              <w:t>fresh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 w:rsidRPr="00765B30">
              <w:rPr>
                <w:rFonts w:asciiTheme="minorHAnsi" w:eastAsiaTheme="minorHAnsi" w:hAnsiTheme="minorHAnsi"/>
                <w:sz w:val="22"/>
                <w:szCs w:val="22"/>
              </w:rPr>
              <w:t>graduate maupun yang berpengalaman.</w:t>
            </w:r>
          </w:p>
          <w:p w:rsidR="00C75686" w:rsidRDefault="00C75686" w:rsidP="00C7568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:rsidR="00C75686" w:rsidRPr="00C75686" w:rsidRDefault="00C75686" w:rsidP="00C7568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202C31" w:rsidRPr="007B00BC" w:rsidTr="00C96163">
        <w:tc>
          <w:tcPr>
            <w:tcW w:w="2898" w:type="dxa"/>
          </w:tcPr>
          <w:p w:rsidR="00202C31" w:rsidRPr="00B73FE1" w:rsidRDefault="00202C31" w:rsidP="00C96163">
            <w:pPr>
              <w:rPr>
                <w:rFonts w:asciiTheme="minorHAnsi" w:hAnsiTheme="minorHAnsi"/>
                <w:b/>
              </w:rPr>
            </w:pPr>
            <w:r w:rsidRPr="00B73FE1">
              <w:rPr>
                <w:rFonts w:asciiTheme="minorHAnsi" w:hAnsiTheme="minorHAnsi"/>
                <w:b/>
              </w:rPr>
              <w:lastRenderedPageBreak/>
              <w:t>5.  Prosedur</w:t>
            </w:r>
          </w:p>
          <w:p w:rsidR="00202C31" w:rsidRPr="00B73FE1" w:rsidRDefault="00202C31" w:rsidP="00C96163">
            <w:pPr>
              <w:rPr>
                <w:rFonts w:asciiTheme="minorHAnsi" w:hAnsiTheme="minorHAnsi"/>
                <w:b/>
              </w:rPr>
            </w:pPr>
          </w:p>
          <w:p w:rsidR="00202C31" w:rsidRPr="00B73FE1" w:rsidRDefault="00202C31" w:rsidP="00C9616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678" w:type="dxa"/>
          </w:tcPr>
          <w:p w:rsidR="00C96163" w:rsidRPr="00C96163" w:rsidRDefault="00C96163" w:rsidP="00C7568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  <w:r w:rsidRPr="00C96163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>Prosedur yang dilaksanakan dalam pemasangan iklan lowongan kerja adalah:</w:t>
            </w:r>
          </w:p>
          <w:p w:rsidR="00C96163" w:rsidRPr="00C96163" w:rsidRDefault="00C96163" w:rsidP="00C75686">
            <w:pPr>
              <w:autoSpaceDE w:val="0"/>
              <w:autoSpaceDN w:val="0"/>
              <w:adjustRightInd w:val="0"/>
              <w:spacing w:line="276" w:lineRule="auto"/>
              <w:ind w:left="363" w:hanging="363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  <w:r w:rsidRPr="00C96163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1) Perusahaan mengirimkan iklan lowongan kerja beserta surat </w:t>
            </w: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>p</w:t>
            </w:r>
            <w:r w:rsidRPr="00C96163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>ermohonan</w:t>
            </w: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96163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>Recruitment on Campus yang akan diinformasikan di web career center</w:t>
            </w: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96163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melalui pos ke Career Center </w:t>
            </w: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(Bursa Kerja) </w:t>
            </w:r>
            <w:r w:rsidR="00A439A4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Universitas </w:t>
            </w: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 Triatma Mulya, Jalan Kubu Gunung, Tegal Jaya, Badung-Bali</w:t>
            </w:r>
            <w:r w:rsidRPr="00C96163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>, atau melalui fax di</w:t>
            </w:r>
            <w:r w:rsidR="008D1F1F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>nomor 0361-412972</w:t>
            </w:r>
            <w:r w:rsidRPr="00C96163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 atau melalui</w:t>
            </w: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 email ke </w:t>
            </w:r>
            <w:r w:rsidRPr="00A439A4">
              <w:rPr>
                <w:rFonts w:asciiTheme="minorHAnsi" w:eastAsiaTheme="minorHAnsi" w:hAnsiTheme="minorHAnsi"/>
                <w:color w:val="FF0000"/>
                <w:sz w:val="22"/>
                <w:szCs w:val="22"/>
              </w:rPr>
              <w:t>stie</w:t>
            </w:r>
            <w:r w:rsidR="008D1F1F" w:rsidRPr="00A439A4">
              <w:rPr>
                <w:rFonts w:asciiTheme="minorHAnsi" w:eastAsiaTheme="minorHAnsi" w:hAnsiTheme="minorHAnsi"/>
                <w:color w:val="FF0000"/>
                <w:sz w:val="22"/>
                <w:szCs w:val="22"/>
              </w:rPr>
              <w:t>.</w:t>
            </w:r>
            <w:r w:rsidRPr="00A439A4">
              <w:rPr>
                <w:rFonts w:asciiTheme="minorHAnsi" w:eastAsiaTheme="minorHAnsi" w:hAnsiTheme="minorHAnsi"/>
                <w:color w:val="FF0000"/>
                <w:sz w:val="22"/>
                <w:szCs w:val="22"/>
              </w:rPr>
              <w:t xml:space="preserve">tm@triatma-mapindo.ac.id </w:t>
            </w:r>
          </w:p>
          <w:p w:rsidR="00C96163" w:rsidRPr="00C96163" w:rsidRDefault="00C96163" w:rsidP="00C75686">
            <w:pPr>
              <w:autoSpaceDE w:val="0"/>
              <w:autoSpaceDN w:val="0"/>
              <w:adjustRightInd w:val="0"/>
              <w:spacing w:line="276" w:lineRule="auto"/>
              <w:ind w:left="363" w:hanging="363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  <w:r w:rsidRPr="00C96163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2) </w:t>
            </w:r>
            <w:r w:rsidR="008D1F1F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  </w:t>
            </w:r>
            <w:r w:rsidRPr="00C96163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>Iklan lowongan ditempelkan di mading untuk diinformasikan kepada</w:t>
            </w:r>
            <w:r w:rsidR="008D1F1F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96163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mahasiswa tingkat akhir atau mahasiswa yang sedang </w:t>
            </w:r>
            <w:r w:rsidR="008D1F1F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>m</w:t>
            </w:r>
            <w:r w:rsidRPr="00C96163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>enunggu sidang,</w:t>
            </w: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96163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>dan juga di informasikan melalui web Career Center bagi alumni.</w:t>
            </w:r>
          </w:p>
          <w:p w:rsidR="00C96163" w:rsidRPr="00C96163" w:rsidRDefault="00C96163" w:rsidP="00C7568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  <w:r w:rsidRPr="00C96163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3) </w:t>
            </w:r>
            <w:r w:rsidR="008D1F1F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   </w:t>
            </w:r>
            <w:r w:rsidRPr="00C96163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>Iklan lowongan di</w:t>
            </w: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>arsip oleh staff career center.</w:t>
            </w:r>
          </w:p>
          <w:p w:rsidR="00C96163" w:rsidRPr="00C96163" w:rsidRDefault="00C96163" w:rsidP="00C75686">
            <w:pPr>
              <w:autoSpaceDE w:val="0"/>
              <w:autoSpaceDN w:val="0"/>
              <w:adjustRightInd w:val="0"/>
              <w:spacing w:line="276" w:lineRule="auto"/>
              <w:ind w:left="363" w:hanging="363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  <w:r w:rsidRPr="00C96163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4) </w:t>
            </w:r>
            <w:r w:rsidR="008D1F1F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96163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>Career Center dapat menerima aplikasi lamaran dari para lulusan maupun</w:t>
            </w: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96163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>mahasiswa tingkat akhir jika perusahaan mengumumkan pada iklan</w:t>
            </w: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96163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>lowongannya untuk menitipkan aplikasi di Career Center, jika tidak</w:t>
            </w:r>
            <w:r w:rsidR="008D1F1F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96163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>pelamar dapat mengirimkannya langsung ke perusahaan pemasang iklan</w:t>
            </w: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96163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>tersebut.</w:t>
            </w:r>
          </w:p>
          <w:p w:rsidR="00C96163" w:rsidRPr="00C96163" w:rsidRDefault="00C96163" w:rsidP="00C75686">
            <w:pPr>
              <w:autoSpaceDE w:val="0"/>
              <w:autoSpaceDN w:val="0"/>
              <w:adjustRightInd w:val="0"/>
              <w:spacing w:line="276" w:lineRule="auto"/>
              <w:ind w:left="363" w:hanging="363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  <w:r w:rsidRPr="00C96163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>5) Career Center menyiapkan hal-hal yang diperlukan selama pelaksanaan</w:t>
            </w: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96163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>Recruitment on Campus, mulai dari ruangan, Komputer/</w:t>
            </w: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96163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>laptop,</w:t>
            </w: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 LCD</w:t>
            </w:r>
            <w:r w:rsidRPr="00C96163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>,</w:t>
            </w: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96163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>dan microphone.</w:t>
            </w:r>
          </w:p>
          <w:p w:rsidR="008D1F1F" w:rsidRDefault="00C96163" w:rsidP="00C7568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  <w:r w:rsidRPr="00C96163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6) </w:t>
            </w:r>
            <w:r w:rsidR="008D1F1F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  </w:t>
            </w:r>
            <w:r w:rsidRPr="00C96163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>Pihak Perusahaan dan Career Center berkoordinasi by phone or</w:t>
            </w:r>
          </w:p>
          <w:p w:rsidR="00C96163" w:rsidRPr="00C96163" w:rsidRDefault="008D1F1F" w:rsidP="00C7568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      </w:t>
            </w:r>
            <w:r w:rsidR="00C96163" w:rsidRPr="00C96163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 email</w:t>
            </w: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 </w:t>
            </w:r>
            <w:r w:rsidR="00C96163" w:rsidRPr="00C96163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>sampai dengan pelaksanaan Recruitment tersebut.</w:t>
            </w:r>
          </w:p>
          <w:p w:rsidR="00202C31" w:rsidRPr="00C96163" w:rsidRDefault="00202C31" w:rsidP="00C7568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02C31" w:rsidRPr="007B00BC" w:rsidTr="00C96163">
        <w:tc>
          <w:tcPr>
            <w:tcW w:w="2898" w:type="dxa"/>
          </w:tcPr>
          <w:p w:rsidR="00202C31" w:rsidRPr="00B73FE1" w:rsidRDefault="00202C31" w:rsidP="00C96163">
            <w:pPr>
              <w:rPr>
                <w:rFonts w:asciiTheme="minorHAnsi" w:hAnsiTheme="minorHAnsi"/>
                <w:b/>
              </w:rPr>
            </w:pPr>
            <w:r w:rsidRPr="00B73FE1">
              <w:rPr>
                <w:rFonts w:asciiTheme="minorHAnsi" w:hAnsiTheme="minorHAnsi"/>
                <w:b/>
              </w:rPr>
              <w:t>6.  Klasifikasi Pejabat/</w:t>
            </w:r>
          </w:p>
          <w:p w:rsidR="00202C31" w:rsidRPr="00B73FE1" w:rsidRDefault="00202C31" w:rsidP="00C96163">
            <w:pPr>
              <w:rPr>
                <w:rFonts w:asciiTheme="minorHAnsi" w:hAnsiTheme="minorHAnsi"/>
                <w:b/>
              </w:rPr>
            </w:pPr>
            <w:r w:rsidRPr="00B73FE1">
              <w:rPr>
                <w:rFonts w:asciiTheme="minorHAnsi" w:hAnsiTheme="minorHAnsi"/>
                <w:b/>
              </w:rPr>
              <w:t xml:space="preserve">     Petugas yang menjalan-</w:t>
            </w:r>
          </w:p>
          <w:p w:rsidR="00202C31" w:rsidRPr="00B73FE1" w:rsidRDefault="00202C31" w:rsidP="00C96163">
            <w:pPr>
              <w:rPr>
                <w:rFonts w:asciiTheme="minorHAnsi" w:hAnsiTheme="minorHAnsi"/>
                <w:b/>
              </w:rPr>
            </w:pPr>
            <w:r w:rsidRPr="00B73FE1">
              <w:rPr>
                <w:rFonts w:asciiTheme="minorHAnsi" w:hAnsiTheme="minorHAnsi"/>
                <w:b/>
              </w:rPr>
              <w:t xml:space="preserve">     Kan SOP</w:t>
            </w:r>
          </w:p>
          <w:p w:rsidR="00202C31" w:rsidRPr="00B73FE1" w:rsidRDefault="00202C31" w:rsidP="00C96163">
            <w:pPr>
              <w:rPr>
                <w:rFonts w:asciiTheme="minorHAnsi" w:hAnsiTheme="minorHAnsi"/>
                <w:b/>
              </w:rPr>
            </w:pPr>
          </w:p>
          <w:p w:rsidR="00202C31" w:rsidRPr="00B73FE1" w:rsidRDefault="00202C31" w:rsidP="00C9616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678" w:type="dxa"/>
          </w:tcPr>
          <w:p w:rsidR="00202C31" w:rsidRDefault="008D1F1F" w:rsidP="00C7568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3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Pimpinan dan staf Bursa Kerja</w:t>
            </w:r>
          </w:p>
          <w:p w:rsidR="008D1F1F" w:rsidRDefault="008D1F1F" w:rsidP="00C7568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3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Mahasiswa</w:t>
            </w:r>
          </w:p>
          <w:p w:rsidR="008D1F1F" w:rsidRDefault="008D1F1F" w:rsidP="00C7568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3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Alumni</w:t>
            </w:r>
          </w:p>
          <w:p w:rsidR="00352CAA" w:rsidRPr="000B1D0C" w:rsidRDefault="00352CAA" w:rsidP="00C7568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3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Bagian Sarana Prasarana</w:t>
            </w:r>
          </w:p>
        </w:tc>
      </w:tr>
      <w:tr w:rsidR="00202C31" w:rsidRPr="007B00BC" w:rsidTr="00C96163">
        <w:tc>
          <w:tcPr>
            <w:tcW w:w="2898" w:type="dxa"/>
          </w:tcPr>
          <w:p w:rsidR="00202C31" w:rsidRPr="00B73FE1" w:rsidRDefault="00202C31" w:rsidP="00C96163">
            <w:pPr>
              <w:rPr>
                <w:rFonts w:asciiTheme="minorHAnsi" w:hAnsiTheme="minorHAnsi"/>
                <w:b/>
              </w:rPr>
            </w:pPr>
            <w:r w:rsidRPr="00B73FE1">
              <w:rPr>
                <w:rFonts w:asciiTheme="minorHAnsi" w:hAnsiTheme="minorHAnsi"/>
                <w:b/>
              </w:rPr>
              <w:t>7.  Bagan Alur</w:t>
            </w:r>
          </w:p>
          <w:p w:rsidR="00202C31" w:rsidRDefault="00202C31" w:rsidP="00C96163">
            <w:pPr>
              <w:rPr>
                <w:rFonts w:asciiTheme="minorHAnsi" w:hAnsiTheme="minorHAnsi"/>
              </w:rPr>
            </w:pPr>
          </w:p>
          <w:p w:rsidR="00202C31" w:rsidRDefault="00202C31" w:rsidP="00C96163">
            <w:pPr>
              <w:rPr>
                <w:rFonts w:asciiTheme="minorHAnsi" w:hAnsiTheme="minorHAnsi"/>
              </w:rPr>
            </w:pPr>
          </w:p>
          <w:p w:rsidR="00202C31" w:rsidRPr="007B00BC" w:rsidRDefault="00202C31" w:rsidP="00C96163">
            <w:pPr>
              <w:rPr>
                <w:rFonts w:asciiTheme="minorHAnsi" w:hAnsiTheme="minorHAnsi"/>
              </w:rPr>
            </w:pPr>
          </w:p>
        </w:tc>
        <w:tc>
          <w:tcPr>
            <w:tcW w:w="6678" w:type="dxa"/>
          </w:tcPr>
          <w:p w:rsidR="00501EE3" w:rsidRDefault="00501EE3" w:rsidP="00C96163">
            <w:pPr>
              <w:jc w:val="center"/>
              <w:rPr>
                <w:rFonts w:asciiTheme="minorHAnsi" w:hAnsiTheme="minorHAnsi"/>
              </w:rPr>
            </w:pPr>
          </w:p>
          <w:p w:rsidR="00202C31" w:rsidRDefault="00C75686" w:rsidP="00C75686">
            <w:pPr>
              <w:tabs>
                <w:tab w:val="left" w:pos="460"/>
                <w:tab w:val="center" w:pos="3231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ab/>
            </w:r>
            <w:r>
              <w:rPr>
                <w:rFonts w:asciiTheme="minorHAnsi" w:hAnsiTheme="minorHAnsi"/>
              </w:rPr>
              <w:tab/>
            </w:r>
            <w:r w:rsidR="00352CAA">
              <w:rPr>
                <w:rFonts w:asciiTheme="minorHAnsi" w:hAnsiTheme="minorHAnsi"/>
                <w:noProof/>
              </w:rPr>
              <w:drawing>
                <wp:inline distT="0" distB="0" distL="0" distR="0" wp14:anchorId="6BDBD6A2" wp14:editId="6BC603B4">
                  <wp:extent cx="2881512" cy="8014447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512" cy="8014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5686" w:rsidRPr="007B00BC" w:rsidRDefault="00C75686" w:rsidP="00C75686">
            <w:pPr>
              <w:tabs>
                <w:tab w:val="left" w:pos="460"/>
                <w:tab w:val="center" w:pos="3231"/>
              </w:tabs>
              <w:rPr>
                <w:rFonts w:asciiTheme="minorHAnsi" w:hAnsiTheme="minorHAnsi"/>
              </w:rPr>
            </w:pPr>
          </w:p>
        </w:tc>
      </w:tr>
      <w:tr w:rsidR="00202C31" w:rsidRPr="007B00BC" w:rsidTr="00C96163">
        <w:tc>
          <w:tcPr>
            <w:tcW w:w="2898" w:type="dxa"/>
          </w:tcPr>
          <w:p w:rsidR="00501EE3" w:rsidRDefault="00501EE3" w:rsidP="00C96163">
            <w:pPr>
              <w:rPr>
                <w:rFonts w:asciiTheme="minorHAnsi" w:hAnsiTheme="minorHAnsi"/>
                <w:b/>
              </w:rPr>
            </w:pPr>
          </w:p>
          <w:p w:rsidR="00202C31" w:rsidRPr="00B73FE1" w:rsidRDefault="00202C31" w:rsidP="00C96163">
            <w:pPr>
              <w:rPr>
                <w:rFonts w:asciiTheme="minorHAnsi" w:hAnsiTheme="minorHAnsi"/>
                <w:b/>
              </w:rPr>
            </w:pPr>
            <w:r w:rsidRPr="00B73FE1">
              <w:rPr>
                <w:rFonts w:asciiTheme="minorHAnsi" w:hAnsiTheme="minorHAnsi"/>
                <w:b/>
              </w:rPr>
              <w:t>8.  Catatan</w:t>
            </w:r>
          </w:p>
          <w:p w:rsidR="00202C31" w:rsidRPr="007B00BC" w:rsidRDefault="00202C31" w:rsidP="00C96163">
            <w:pPr>
              <w:rPr>
                <w:rFonts w:asciiTheme="minorHAnsi" w:hAnsiTheme="minorHAnsi"/>
              </w:rPr>
            </w:pPr>
          </w:p>
        </w:tc>
        <w:tc>
          <w:tcPr>
            <w:tcW w:w="6678" w:type="dxa"/>
          </w:tcPr>
          <w:p w:rsidR="00202C31" w:rsidRDefault="00202C31" w:rsidP="00C96163">
            <w:pPr>
              <w:rPr>
                <w:rFonts w:asciiTheme="minorHAnsi" w:hAnsiTheme="minorHAnsi"/>
              </w:rPr>
            </w:pPr>
          </w:p>
          <w:p w:rsidR="00501EE3" w:rsidRPr="007B00BC" w:rsidRDefault="00501EE3" w:rsidP="00C96163">
            <w:pPr>
              <w:rPr>
                <w:rFonts w:asciiTheme="minorHAnsi" w:hAnsiTheme="minorHAnsi"/>
              </w:rPr>
            </w:pPr>
          </w:p>
        </w:tc>
      </w:tr>
      <w:tr w:rsidR="00202C31" w:rsidRPr="007B00BC" w:rsidTr="00C96163">
        <w:tc>
          <w:tcPr>
            <w:tcW w:w="2898" w:type="dxa"/>
          </w:tcPr>
          <w:p w:rsidR="00202C31" w:rsidRPr="00B73FE1" w:rsidRDefault="00202C31" w:rsidP="00C96163">
            <w:pPr>
              <w:rPr>
                <w:rFonts w:asciiTheme="minorHAnsi" w:hAnsiTheme="minorHAnsi"/>
                <w:b/>
              </w:rPr>
            </w:pPr>
            <w:r w:rsidRPr="00B73FE1">
              <w:rPr>
                <w:rFonts w:asciiTheme="minorHAnsi" w:hAnsiTheme="minorHAnsi"/>
                <w:b/>
              </w:rPr>
              <w:t>9.  Dokumen Terkait</w:t>
            </w:r>
          </w:p>
        </w:tc>
        <w:tc>
          <w:tcPr>
            <w:tcW w:w="6678" w:type="dxa"/>
          </w:tcPr>
          <w:p w:rsidR="00CC0B63" w:rsidRDefault="003A7CF6" w:rsidP="00C96163">
            <w:pPr>
              <w:pStyle w:val="ListParagraph"/>
              <w:numPr>
                <w:ilvl w:val="0"/>
                <w:numId w:val="2"/>
              </w:numPr>
              <w:ind w:left="522"/>
              <w:rPr>
                <w:rFonts w:asciiTheme="minorHAnsi" w:hAnsiTheme="minorHAnsi"/>
              </w:rPr>
            </w:pPr>
            <w:r w:rsidRPr="00CC0B63">
              <w:rPr>
                <w:rFonts w:asciiTheme="minorHAnsi" w:hAnsiTheme="minorHAnsi"/>
              </w:rPr>
              <w:t>Form Aplikasi Lamaran</w:t>
            </w:r>
          </w:p>
          <w:p w:rsidR="00CC0B63" w:rsidRPr="00CC0B63" w:rsidRDefault="00CC0B63" w:rsidP="00CC0B63">
            <w:pPr>
              <w:pStyle w:val="ListParagraph"/>
              <w:numPr>
                <w:ilvl w:val="0"/>
                <w:numId w:val="2"/>
              </w:numPr>
              <w:ind w:left="52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Standar Kerjasama</w:t>
            </w:r>
          </w:p>
          <w:p w:rsidR="003A7CF6" w:rsidRPr="007B00BC" w:rsidRDefault="003A7CF6" w:rsidP="00C96163">
            <w:pPr>
              <w:rPr>
                <w:rFonts w:asciiTheme="minorHAnsi" w:hAnsiTheme="minorHAnsi"/>
              </w:rPr>
            </w:pPr>
          </w:p>
        </w:tc>
      </w:tr>
    </w:tbl>
    <w:p w:rsidR="00202C31" w:rsidRPr="007B00BC" w:rsidRDefault="00202C31" w:rsidP="00202C31">
      <w:pPr>
        <w:rPr>
          <w:rFonts w:asciiTheme="minorHAnsi" w:hAnsiTheme="minorHAnsi"/>
        </w:rPr>
      </w:pPr>
    </w:p>
    <w:p w:rsidR="00202C31" w:rsidRPr="007B00BC" w:rsidRDefault="00202C31" w:rsidP="00202C31">
      <w:pPr>
        <w:rPr>
          <w:rFonts w:asciiTheme="minorHAnsi" w:hAnsiTheme="minorHAnsi"/>
        </w:rPr>
      </w:pPr>
    </w:p>
    <w:p w:rsidR="00202C31" w:rsidRDefault="00202C31" w:rsidP="00202C31"/>
    <w:p w:rsidR="00202C31" w:rsidRDefault="00202C31" w:rsidP="00202C31"/>
    <w:p w:rsidR="00202C31" w:rsidRDefault="00202C31" w:rsidP="00202C31"/>
    <w:p w:rsidR="00202C31" w:rsidRDefault="00202C31" w:rsidP="00202C31"/>
    <w:p w:rsidR="006E2C38" w:rsidRDefault="006E2C38"/>
    <w:sectPr w:rsidR="006E2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17C56"/>
    <w:multiLevelType w:val="hybridMultilevel"/>
    <w:tmpl w:val="2FF43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2977D1"/>
    <w:multiLevelType w:val="hybridMultilevel"/>
    <w:tmpl w:val="CCF2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31"/>
    <w:rsid w:val="000D3772"/>
    <w:rsid w:val="00202C31"/>
    <w:rsid w:val="00295A2E"/>
    <w:rsid w:val="00352CAA"/>
    <w:rsid w:val="003A7CF6"/>
    <w:rsid w:val="00475026"/>
    <w:rsid w:val="004B234A"/>
    <w:rsid w:val="00501EE3"/>
    <w:rsid w:val="00624E0D"/>
    <w:rsid w:val="006E2C38"/>
    <w:rsid w:val="00765B30"/>
    <w:rsid w:val="00812A57"/>
    <w:rsid w:val="008A1898"/>
    <w:rsid w:val="008D1F1F"/>
    <w:rsid w:val="00A439A4"/>
    <w:rsid w:val="00AE77ED"/>
    <w:rsid w:val="00C75686"/>
    <w:rsid w:val="00C96163"/>
    <w:rsid w:val="00CC0B63"/>
    <w:rsid w:val="00EA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A3C1C5-EDE0-44E2-B50C-E67263A5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2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2C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2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C3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international-off</dc:creator>
  <cp:lastModifiedBy>Made Christin Dwitrayani</cp:lastModifiedBy>
  <cp:revision>5</cp:revision>
  <dcterms:created xsi:type="dcterms:W3CDTF">2021-01-19T06:50:00Z</dcterms:created>
  <dcterms:modified xsi:type="dcterms:W3CDTF">2021-04-21T04:18:00Z</dcterms:modified>
</cp:coreProperties>
</file>