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371"/>
        <w:gridCol w:w="3960"/>
      </w:tblGrid>
      <w:tr w:rsidR="00E97D1F" w:rsidRPr="004241B7" w:rsidTr="00510937">
        <w:tc>
          <w:tcPr>
            <w:tcW w:w="1939" w:type="dxa"/>
          </w:tcPr>
          <w:p w:rsidR="00E97D1F" w:rsidRPr="004241B7" w:rsidRDefault="001D11F7" w:rsidP="00510937">
            <w:pPr>
              <w:jc w:val="center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b/>
                <w:noProof/>
              </w:rPr>
              <w:drawing>
                <wp:inline distT="0" distB="0" distL="0" distR="0" wp14:anchorId="6B1FAC27" wp14:editId="391C5173">
                  <wp:extent cx="590550" cy="695325"/>
                  <wp:effectExtent l="0" t="0" r="0" b="0"/>
                  <wp:docPr id="4" name="Picture 4" descr="H:\Shared drives\FILE BPM\LPM UNIVERSITAS TRIATMA MULYA\LOGO UNTRIM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 drives\FILE BPM\LPM UNIVERSITAS TRIATMA MULYA\LOGO UNTRIM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23" cy="696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dxa"/>
          </w:tcPr>
          <w:p w:rsidR="00E97D1F" w:rsidRDefault="00E97D1F" w:rsidP="0051093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="00E97D1F" w:rsidRPr="003D5684" w:rsidRDefault="00FA574B" w:rsidP="00510937">
            <w:pPr>
              <w:jc w:val="center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b/>
                <w:bCs/>
                <w:lang w:val="sv-SE"/>
              </w:rPr>
              <w:t>UNIVERSITAS TRIATMA MULYA</w:t>
            </w:r>
            <w:bookmarkStart w:id="0" w:name="_GoBack"/>
            <w:bookmarkEnd w:id="0"/>
          </w:p>
        </w:tc>
        <w:tc>
          <w:tcPr>
            <w:tcW w:w="3960" w:type="dxa"/>
          </w:tcPr>
          <w:p w:rsidR="00E97D1F" w:rsidRPr="004241B7" w:rsidRDefault="00E97D1F" w:rsidP="0051093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KODE SOP :</w:t>
            </w:r>
            <w:r w:rsidR="0084266C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 xml:space="preserve"> SOP/BAAK/</w:t>
            </w:r>
            <w:r w:rsidR="0074159F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07</w:t>
            </w:r>
          </w:p>
          <w:p w:rsidR="00E97D1F" w:rsidRPr="004241B7" w:rsidRDefault="00E97D1F" w:rsidP="00510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97D1F" w:rsidRPr="004241B7" w:rsidRDefault="00E97D1F" w:rsidP="00510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D1F" w:rsidRPr="004241B7" w:rsidTr="00510937"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E97D1F" w:rsidRPr="007B00BC" w:rsidRDefault="00DA2B1E" w:rsidP="0051093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PROSEDUR SPMI</w:t>
            </w:r>
          </w:p>
        </w:tc>
        <w:tc>
          <w:tcPr>
            <w:tcW w:w="3960" w:type="dxa"/>
          </w:tcPr>
          <w:p w:rsidR="00E97D1F" w:rsidRDefault="0084266C" w:rsidP="00510937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/>
                <w:sz w:val="22"/>
                <w:szCs w:val="22"/>
                <w:lang w:val="fi-FI"/>
              </w:rPr>
              <w:t xml:space="preserve">Tanggal Ditetapkan </w:t>
            </w:r>
            <w:r w:rsidR="00E97D1F" w:rsidRPr="004241B7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: </w:t>
            </w:r>
          </w:p>
          <w:p w:rsidR="00E97D1F" w:rsidRPr="004241B7" w:rsidRDefault="00E97D1F" w:rsidP="00510937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</w:tr>
    </w:tbl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10"/>
        <w:gridCol w:w="3960"/>
      </w:tblGrid>
      <w:tr w:rsidR="00E97D1F" w:rsidRPr="004241B7" w:rsidTr="00510937">
        <w:tc>
          <w:tcPr>
            <w:tcW w:w="5310" w:type="dxa"/>
            <w:tcBorders>
              <w:bottom w:val="nil"/>
            </w:tcBorders>
          </w:tcPr>
          <w:p w:rsidR="00E97D1F" w:rsidRPr="004241B7" w:rsidRDefault="00E97D1F" w:rsidP="00510937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  <w:t xml:space="preserve">JUDUL </w:t>
            </w:r>
          </w:p>
          <w:p w:rsidR="00E97D1F" w:rsidRPr="00014E11" w:rsidRDefault="00E97D1F" w:rsidP="00510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4E11"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>PROSEDUR PEMASANGAN IKLAN LOWONGAN KERJA</w:t>
            </w:r>
          </w:p>
        </w:tc>
        <w:tc>
          <w:tcPr>
            <w:tcW w:w="3960" w:type="dxa"/>
          </w:tcPr>
          <w:p w:rsidR="00E97D1F" w:rsidRPr="00143FF5" w:rsidRDefault="00E97D1F" w:rsidP="00510937">
            <w:pPr>
              <w:rPr>
                <w:rFonts w:asciiTheme="minorHAnsi" w:hAnsiTheme="minorHAnsi"/>
                <w:sz w:val="22"/>
                <w:szCs w:val="22"/>
              </w:rPr>
            </w:pPr>
            <w:r w:rsidRPr="00143FF5">
              <w:rPr>
                <w:rFonts w:asciiTheme="minorHAnsi" w:hAnsiTheme="minorHAnsi"/>
                <w:sz w:val="22"/>
                <w:szCs w:val="22"/>
              </w:rPr>
              <w:t>Tanggal Revisi :</w:t>
            </w:r>
            <w:r w:rsidR="0084266C" w:rsidRPr="00143FF5">
              <w:rPr>
                <w:rFonts w:asciiTheme="minorHAnsi" w:hAnsiTheme="minorHAnsi"/>
                <w:sz w:val="22"/>
                <w:szCs w:val="22"/>
              </w:rPr>
              <w:t xml:space="preserve"> -</w:t>
            </w:r>
          </w:p>
        </w:tc>
      </w:tr>
      <w:tr w:rsidR="00E97D1F" w:rsidRPr="004241B7" w:rsidTr="00510937">
        <w:tc>
          <w:tcPr>
            <w:tcW w:w="5310" w:type="dxa"/>
            <w:tcBorders>
              <w:top w:val="nil"/>
            </w:tcBorders>
          </w:tcPr>
          <w:p w:rsidR="00E97D1F" w:rsidRPr="004241B7" w:rsidRDefault="00E97D1F" w:rsidP="00510937">
            <w:pPr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E97D1F" w:rsidRPr="00143FF5" w:rsidRDefault="00E97D1F" w:rsidP="00143FF5">
            <w:pPr>
              <w:rPr>
                <w:rFonts w:asciiTheme="minorHAnsi" w:hAnsiTheme="minorHAnsi"/>
                <w:sz w:val="22"/>
                <w:szCs w:val="22"/>
              </w:rPr>
            </w:pPr>
            <w:r w:rsidRPr="00143FF5">
              <w:rPr>
                <w:rFonts w:asciiTheme="minorHAnsi" w:hAnsiTheme="minorHAnsi"/>
                <w:sz w:val="22"/>
                <w:szCs w:val="22"/>
              </w:rPr>
              <w:t>Halaman :</w:t>
            </w:r>
            <w:r w:rsidR="00143FF5" w:rsidRPr="00143FF5">
              <w:rPr>
                <w:rFonts w:asciiTheme="minorHAnsi" w:hAnsiTheme="minorHAnsi"/>
                <w:sz w:val="22"/>
                <w:szCs w:val="22"/>
              </w:rPr>
              <w:t xml:space="preserve">1 dari </w:t>
            </w:r>
            <w:r w:rsidR="00143FF5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E97D1F" w:rsidRPr="004241B7" w:rsidRDefault="00E97D1F" w:rsidP="00E97D1F">
      <w:pPr>
        <w:rPr>
          <w:rFonts w:asciiTheme="minorHAnsi" w:hAnsiTheme="minorHAnsi"/>
        </w:rPr>
      </w:pPr>
    </w:p>
    <w:p w:rsidR="00E97D1F" w:rsidRPr="004241B7" w:rsidRDefault="00E97D1F" w:rsidP="00E97D1F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E97D1F" w:rsidRPr="00124DD5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3FE1">
              <w:rPr>
                <w:rFonts w:asciiTheme="minorHAnsi" w:hAnsiTheme="minorHAnsi"/>
                <w:b/>
                <w:sz w:val="22"/>
                <w:szCs w:val="22"/>
              </w:rPr>
              <w:t>1.  Tujuan Prosedur</w:t>
            </w:r>
          </w:p>
        </w:tc>
        <w:tc>
          <w:tcPr>
            <w:tcW w:w="6678" w:type="dxa"/>
          </w:tcPr>
          <w:p w:rsidR="00E97D1F" w:rsidRPr="00124DD5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Pemasangan iklan lowongan kerja oleh perusahaan-perusahaan yang</w:t>
            </w:r>
            <w:r w:rsidR="00C0101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membutuhkan tenaga kerja lulusan </w:t>
            </w:r>
            <w:r w:rsidR="001D11F7">
              <w:rPr>
                <w:rFonts w:asciiTheme="minorHAnsi" w:eastAsiaTheme="minorHAnsi" w:hAnsiTheme="minorHAnsi"/>
                <w:sz w:val="22"/>
                <w:szCs w:val="22"/>
              </w:rPr>
              <w:t>Universitas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merupakan wujud </w:t>
            </w:r>
            <w:r w:rsidRPr="00BF63AB">
              <w:rPr>
                <w:rFonts w:asciiTheme="minorHAnsi" w:eastAsiaTheme="minorHAnsi" w:hAnsiTheme="minorHAnsi"/>
                <w:sz w:val="22"/>
                <w:szCs w:val="22"/>
              </w:rPr>
              <w:t xml:space="preserve">keperdulian </w:t>
            </w:r>
            <w:r w:rsidR="001D11F7" w:rsidRPr="00BF63AB">
              <w:rPr>
                <w:rFonts w:asciiTheme="minorHAnsi" w:eastAsiaTheme="minorHAnsi" w:hAnsiTheme="minorHAnsi"/>
                <w:sz w:val="22"/>
                <w:szCs w:val="22"/>
              </w:rPr>
              <w:t>Universitas</w:t>
            </w:r>
            <w:r w:rsidR="00C0101F" w:rsidRPr="00BF63AB"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</w:t>
            </w:r>
            <w:r w:rsidRPr="00BF63AB">
              <w:rPr>
                <w:rFonts w:asciiTheme="minorHAnsi" w:eastAsiaTheme="minorHAnsi" w:hAnsiTheme="minorHAnsi"/>
                <w:sz w:val="22"/>
                <w:szCs w:val="22"/>
              </w:rPr>
              <w:t xml:space="preserve"> terhadap para calon lulusan maupun alumni dalam rangka memudahkan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 mereka agar dapat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dengan cepat memperoleh kerja setelah mereka dinyatakan lulus tugas akhir.</w:t>
            </w:r>
          </w:p>
          <w:p w:rsidR="00E97D1F" w:rsidRPr="00124DD5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Prosedur Pemasangan iklan lowongan kerja di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Bursa Kerja Khusus (BKK)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 dimaksudkan sebagai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pedoman bagi seluruh perusahaan agar semua lowongan kerja yang masuk dapat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di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terima oleh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BKK dan dapat di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informasikan ke seluruh mahasiswa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tingkat akhir ataupun lulusan melalui majalah dinding yang ada di tiap lokasi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kampus maupun melalui web </w:t>
            </w:r>
            <w:r w:rsidR="001D11F7">
              <w:rPr>
                <w:rFonts w:asciiTheme="minorHAnsi" w:eastAsiaTheme="minorHAnsi" w:hAnsiTheme="minorHAnsi"/>
                <w:sz w:val="22"/>
                <w:szCs w:val="22"/>
              </w:rPr>
              <w:t xml:space="preserve">Universitas </w:t>
            </w:r>
            <w:r w:rsidR="00E35DCC">
              <w:rPr>
                <w:rFonts w:asciiTheme="minorHAnsi" w:eastAsiaTheme="minorHAnsi" w:hAnsiTheme="minorHAnsi"/>
                <w:sz w:val="22"/>
                <w:szCs w:val="22"/>
              </w:rPr>
              <w:t>Triatma Mulya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 yang dapat diakses oleh seluruh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mahasiswa maupun lulusan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setiap saat di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mana saja.</w:t>
            </w:r>
          </w:p>
          <w:p w:rsidR="00E97D1F" w:rsidRPr="00124DD5" w:rsidRDefault="00E97D1F" w:rsidP="005109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ind w:left="270" w:hanging="270"/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2.  Luas Lingkup Prosedur dan Penggunaannya</w:t>
            </w:r>
          </w:p>
        </w:tc>
        <w:tc>
          <w:tcPr>
            <w:tcW w:w="6678" w:type="dxa"/>
          </w:tcPr>
          <w:p w:rsidR="00E97D1F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Iklan lowongan kerja yang dapat dipasang atau dinformasikan pada web </w:t>
            </w:r>
            <w:r w:rsidR="001D11F7">
              <w:rPr>
                <w:rFonts w:asciiTheme="minorHAnsi" w:eastAsiaTheme="minorHAnsi" w:hAnsiTheme="minorHAnsi"/>
                <w:sz w:val="22"/>
                <w:szCs w:val="22"/>
              </w:rPr>
              <w:t>Universitas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Triatma Mulya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 adalah iklan lowongan kerja yang ditujukan bagi alumni/lulusan, iklan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kesempatan program magang ataupun kerja praktek bagi mahasiswa tingkat akhir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ataupun mahasiswa yang sedang menyelesaikan tugas praktek kerja lapangan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>(PKL), dimana iklan lowongan kerja tersebut dapat dikirim oleh perusahaan ke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BKK Triatma Mulya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 secara langsung melalui pos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, fax </w:t>
            </w:r>
            <w:r w:rsidRPr="00124DD5">
              <w:rPr>
                <w:rFonts w:asciiTheme="minorHAnsi" w:eastAsiaTheme="minorHAnsi" w:hAnsiTheme="minorHAnsi"/>
                <w:sz w:val="22"/>
                <w:szCs w:val="22"/>
              </w:rPr>
              <w:t xml:space="preserve">atau melalui email: </w:t>
            </w:r>
            <w:r w:rsidRPr="001D11F7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stie.tm@triatma-mapindo.ac.id</w:t>
            </w:r>
          </w:p>
          <w:p w:rsidR="00E97D1F" w:rsidRPr="00A80773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3.  Standar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E97D1F" w:rsidRPr="00A80773" w:rsidRDefault="00FF5C62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 Kemahasiswaan</w:t>
            </w: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4.  Def</w:t>
            </w:r>
            <w:r w:rsidR="00143FF5">
              <w:rPr>
                <w:rFonts w:asciiTheme="minorHAnsi" w:hAnsiTheme="minorHAnsi"/>
                <w:b/>
              </w:rPr>
              <w:t>I</w:t>
            </w:r>
            <w:r w:rsidRPr="00B73FE1">
              <w:rPr>
                <w:rFonts w:asciiTheme="minorHAnsi" w:hAnsiTheme="minorHAnsi"/>
                <w:b/>
              </w:rPr>
              <w:t>nisi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E97D1F" w:rsidRPr="00C0101F" w:rsidRDefault="00E97D1F" w:rsidP="005109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t>Iklan lowongan kerja, berisikan informasi lowongan kerja yang ada di</w:t>
            </w:r>
            <w:r w:rsidR="00C0101F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t xml:space="preserve">perusahaan yang membutuhkan tenaga-tenaga </w:t>
            </w:r>
            <w:r w:rsidRPr="00C0101F">
              <w:rPr>
                <w:rFonts w:asciiTheme="minorHAnsi" w:eastAsiaTheme="minorHAnsi" w:hAnsiTheme="minorHAnsi"/>
                <w:i/>
                <w:sz w:val="22"/>
                <w:szCs w:val="22"/>
              </w:rPr>
              <w:t>fresh graduate</w:t>
            </w: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t xml:space="preserve"> maupun yang berpengalaman.</w:t>
            </w:r>
          </w:p>
          <w:p w:rsidR="00C0101F" w:rsidRDefault="00E97D1F" w:rsidP="005109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80773">
              <w:rPr>
                <w:rFonts w:asciiTheme="minorHAnsi" w:eastAsiaTheme="minorHAnsi" w:hAnsiTheme="minorHAnsi"/>
                <w:sz w:val="22"/>
                <w:szCs w:val="22"/>
              </w:rPr>
              <w:t>Alumni/lulusan, merupakan mahasiswa yang sudah menyelesaikan masa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 </w:t>
            </w:r>
            <w:r w:rsidRPr="00A80773">
              <w:rPr>
                <w:rFonts w:asciiTheme="minorHAnsi" w:eastAsiaTheme="minorHAnsi" w:hAnsiTheme="minorHAnsi"/>
                <w:sz w:val="22"/>
                <w:szCs w:val="22"/>
              </w:rPr>
              <w:t xml:space="preserve">studinya di </w:t>
            </w:r>
            <w:r>
              <w:rPr>
                <w:rFonts w:asciiTheme="minorHAnsi" w:eastAsiaTheme="minorHAnsi" w:hAnsiTheme="minorHAnsi"/>
                <w:sz w:val="22"/>
                <w:szCs w:val="22"/>
              </w:rPr>
              <w:t>program studi</w:t>
            </w:r>
            <w:r w:rsidRPr="00A80773">
              <w:rPr>
                <w:rFonts w:asciiTheme="minorHAnsi" w:eastAsiaTheme="minorHAnsi" w:hAnsiTheme="minorHAnsi"/>
                <w:sz w:val="22"/>
                <w:szCs w:val="22"/>
              </w:rPr>
              <w:t>.</w:t>
            </w:r>
          </w:p>
          <w:p w:rsidR="00C0101F" w:rsidRDefault="00E97D1F" w:rsidP="005109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t>Program magang, merupakan program kerja kontrak selama 3 bulan atau lebih sesuia dengan kesepakatan dengan pihak perusahaan  bagi mahasiswa tingkat akhir/mahasiswa yang sedang praktek kerja lapangan yang dapat membantunya dalam menyelesaikan tugas akhirnya.</w:t>
            </w:r>
          </w:p>
          <w:p w:rsidR="00C0101F" w:rsidRDefault="00E97D1F" w:rsidP="005109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lastRenderedPageBreak/>
              <w:t>Kerja praktek, merupakan program kerja kontrak dengan waktu yang disepakati bersama antara mahasiswa dan perusahaan  bagi mahasiswa tingkat akhir/mahasiswa yang sedang praktek kerja lapangan yang dapat membantunya dalam menyelesaikan tugas akhirnya.</w:t>
            </w:r>
          </w:p>
          <w:p w:rsidR="00E97D1F" w:rsidRPr="00C0101F" w:rsidRDefault="00E97D1F" w:rsidP="005109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jc w:val="both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0101F">
              <w:rPr>
                <w:rFonts w:asciiTheme="minorHAnsi" w:eastAsiaTheme="minorHAnsi" w:hAnsiTheme="minorHAnsi"/>
                <w:sz w:val="22"/>
                <w:szCs w:val="22"/>
              </w:rPr>
              <w:t>Program daily worker adalah program kerja harian yang ditawarkan oleh perusahaan-perusahaan untuk mengisi waktu luang atau selama liburan mahasiswa. Mahasiswa akan diberikan upah harian dan surat keterangan telah mengikut daily worker.</w:t>
            </w:r>
          </w:p>
          <w:p w:rsidR="00E97D1F" w:rsidRPr="00A80773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5.  Prosedur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E97D1F" w:rsidRPr="003A398A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3A398A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Prosedur yang dilaksanakan dalam pemasangan iklan lowongan kerja adalah:</w:t>
            </w:r>
          </w:p>
          <w:p w:rsidR="00E97D1F" w:rsidRPr="001D11F7" w:rsidRDefault="00E97D1F" w:rsidP="00C0101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</w:pPr>
            <w:r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Perusahaan mengirimkan iklan lowongan kerja beserta surat permohonan pemasangan iklan lowongan kerja yang akan diinformasikan di web BKK </w:t>
            </w:r>
            <w:r w:rsidR="001D11F7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Universitas </w:t>
            </w:r>
            <w:r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Triatma Mulya melalui pos ke BKK </w:t>
            </w:r>
            <w:r w:rsidR="001D11F7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Universitas </w:t>
            </w:r>
            <w:r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Triatma Mulya, Jalan Kubu Gunung, Dalung, Kuta Utara-Badung-Bali,  atau melalui fax di nomor 0361-412972 atau melalui ema</w:t>
            </w:r>
            <w:r w:rsidR="001D11F7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</w:t>
            </w:r>
            <w:r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l ke </w:t>
            </w:r>
            <w:r w:rsidRPr="001D11F7">
              <w:rPr>
                <w:rFonts w:asciiTheme="minorHAnsi" w:eastAsiaTheme="minorHAnsi" w:hAnsiTheme="minorHAnsi"/>
                <w:color w:val="FF0000"/>
                <w:sz w:val="22"/>
                <w:szCs w:val="22"/>
              </w:rPr>
              <w:t>stie.tm@triatma-mapindo.ac.id</w:t>
            </w:r>
          </w:p>
          <w:p w:rsidR="00E97D1F" w:rsidRPr="00C0101F" w:rsidRDefault="001D11F7" w:rsidP="0051093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2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</w:t>
            </w:r>
            <w:r w:rsidR="00E97D1F" w:rsidRPr="003A398A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klan lowongan ditempelkan di mading untuk diinformasikan kepada</w:t>
            </w:r>
            <w:r w:rsid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97D1F"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mahasiswa tingkat akhir atau mahasiswa yang sedang menunggu sidang, dan juga di informasikan melalui web BKK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Universitas</w:t>
            </w:r>
            <w:r w:rsidR="00E97D1F" w:rsidRPr="00C0101F"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Triatma Mulya  bagi mahasiswa dan alumni.</w:t>
            </w:r>
          </w:p>
          <w:p w:rsidR="00E97D1F" w:rsidRPr="003A398A" w:rsidRDefault="00E97D1F" w:rsidP="0051093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6.  Klasifikasi Pejabat/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Petugas yang menjalan-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Kan SOP</w:t>
            </w: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E97D1F" w:rsidRDefault="00B949DB" w:rsidP="00510937">
            <w:pPr>
              <w:pStyle w:val="ListParagraph"/>
              <w:numPr>
                <w:ilvl w:val="0"/>
                <w:numId w:val="1"/>
              </w:numPr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Kepala Bursa Kerja Triatma Mulya</w:t>
            </w:r>
          </w:p>
          <w:p w:rsidR="00E97D1F" w:rsidRDefault="00B949DB" w:rsidP="00510937">
            <w:pPr>
              <w:pStyle w:val="ListParagraph"/>
              <w:numPr>
                <w:ilvl w:val="0"/>
                <w:numId w:val="1"/>
              </w:numPr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Bagian Humas</w:t>
            </w:r>
          </w:p>
          <w:p w:rsidR="00E97D1F" w:rsidRPr="000B1D0C" w:rsidRDefault="00B949DB" w:rsidP="00510937">
            <w:pPr>
              <w:pStyle w:val="ListParagraph"/>
              <w:numPr>
                <w:ilvl w:val="0"/>
                <w:numId w:val="1"/>
              </w:numPr>
              <w:ind w:left="363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Bagian Kemahasiswaan</w:t>
            </w: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7.  Bagan Alur</w:t>
            </w:r>
          </w:p>
          <w:p w:rsidR="00E97D1F" w:rsidRDefault="00E97D1F" w:rsidP="00510937">
            <w:pPr>
              <w:rPr>
                <w:rFonts w:asciiTheme="minorHAnsi" w:hAnsiTheme="minorHAnsi"/>
              </w:rPr>
            </w:pPr>
          </w:p>
          <w:p w:rsidR="00E97D1F" w:rsidRDefault="00E97D1F" w:rsidP="00510937">
            <w:pPr>
              <w:rPr>
                <w:rFonts w:asciiTheme="minorHAnsi" w:hAnsiTheme="minorHAnsi"/>
              </w:rPr>
            </w:pPr>
          </w:p>
          <w:p w:rsidR="00E97D1F" w:rsidRPr="007B00BC" w:rsidRDefault="00E97D1F" w:rsidP="00510937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E97D1F" w:rsidRDefault="00E97D1F" w:rsidP="0051093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1EA1CB0" wp14:editId="4D5B71C4">
                  <wp:extent cx="2085975" cy="37997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379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D1F" w:rsidRDefault="00E97D1F" w:rsidP="0051093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8284046" wp14:editId="4B368FA0">
                  <wp:extent cx="1857375" cy="552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D1F" w:rsidRPr="007B00BC" w:rsidRDefault="00E97D1F" w:rsidP="00510937">
            <w:pPr>
              <w:jc w:val="center"/>
              <w:rPr>
                <w:rFonts w:asciiTheme="minorHAnsi" w:hAnsiTheme="minorHAnsi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8.  Catatan</w:t>
            </w:r>
          </w:p>
          <w:p w:rsidR="00E97D1F" w:rsidRPr="007B00BC" w:rsidRDefault="00E97D1F" w:rsidP="00510937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E97D1F" w:rsidRPr="007B00BC" w:rsidRDefault="00E97D1F" w:rsidP="00510937">
            <w:pPr>
              <w:rPr>
                <w:rFonts w:asciiTheme="minorHAnsi" w:hAnsiTheme="minorHAnsi"/>
              </w:rPr>
            </w:pPr>
          </w:p>
        </w:tc>
      </w:tr>
      <w:tr w:rsidR="00E97D1F" w:rsidRPr="007B00BC" w:rsidTr="00510937">
        <w:tc>
          <w:tcPr>
            <w:tcW w:w="2898" w:type="dxa"/>
          </w:tcPr>
          <w:p w:rsidR="00E97D1F" w:rsidRPr="00B73FE1" w:rsidRDefault="00E97D1F" w:rsidP="00510937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9.  Dokumen Terkait</w:t>
            </w:r>
          </w:p>
        </w:tc>
        <w:tc>
          <w:tcPr>
            <w:tcW w:w="6678" w:type="dxa"/>
          </w:tcPr>
          <w:p w:rsidR="00E97D1F" w:rsidRPr="00C0101F" w:rsidRDefault="00B949DB" w:rsidP="00C0101F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Buku Besar Surat Masuk</w:t>
            </w:r>
          </w:p>
          <w:p w:rsidR="00E97D1F" w:rsidRDefault="006406F1" w:rsidP="00C0101F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Formulir Pencari Kerja</w:t>
            </w:r>
          </w:p>
          <w:p w:rsidR="00E97D1F" w:rsidRPr="007B00BC" w:rsidRDefault="00E97D1F" w:rsidP="00C0101F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dll.</w:t>
            </w:r>
          </w:p>
        </w:tc>
      </w:tr>
    </w:tbl>
    <w:p w:rsidR="00E97D1F" w:rsidRPr="007B00BC" w:rsidRDefault="00E97D1F" w:rsidP="00E97D1F">
      <w:pPr>
        <w:rPr>
          <w:rFonts w:asciiTheme="minorHAnsi" w:hAnsiTheme="minorHAnsi"/>
        </w:rPr>
      </w:pPr>
    </w:p>
    <w:p w:rsidR="00E97D1F" w:rsidRPr="007B00BC" w:rsidRDefault="00E97D1F" w:rsidP="00E97D1F">
      <w:pPr>
        <w:rPr>
          <w:rFonts w:asciiTheme="minorHAnsi" w:hAnsiTheme="minorHAnsi"/>
        </w:rPr>
      </w:pPr>
    </w:p>
    <w:p w:rsidR="00E97D1F" w:rsidRDefault="00E97D1F" w:rsidP="00E97D1F"/>
    <w:p w:rsidR="00E97D1F" w:rsidRDefault="00E97D1F" w:rsidP="00E97D1F"/>
    <w:p w:rsidR="00E97D1F" w:rsidRDefault="00E97D1F" w:rsidP="00E97D1F"/>
    <w:p w:rsidR="00E97D1F" w:rsidRDefault="00E97D1F" w:rsidP="00E97D1F"/>
    <w:p w:rsidR="006E2C38" w:rsidRDefault="006E2C38"/>
    <w:sectPr w:rsidR="006E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C56"/>
    <w:multiLevelType w:val="hybridMultilevel"/>
    <w:tmpl w:val="2FF4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E33"/>
    <w:multiLevelType w:val="hybridMultilevel"/>
    <w:tmpl w:val="7212A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97623"/>
    <w:multiLevelType w:val="hybridMultilevel"/>
    <w:tmpl w:val="CC14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11A6A"/>
    <w:multiLevelType w:val="hybridMultilevel"/>
    <w:tmpl w:val="F988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1F"/>
    <w:rsid w:val="00085467"/>
    <w:rsid w:val="00143FF5"/>
    <w:rsid w:val="001D11F7"/>
    <w:rsid w:val="00226C3A"/>
    <w:rsid w:val="003D5684"/>
    <w:rsid w:val="004A603E"/>
    <w:rsid w:val="006406F1"/>
    <w:rsid w:val="006E2C38"/>
    <w:rsid w:val="0074159F"/>
    <w:rsid w:val="0084266C"/>
    <w:rsid w:val="008A1898"/>
    <w:rsid w:val="00AD7105"/>
    <w:rsid w:val="00B949DB"/>
    <w:rsid w:val="00BF63AB"/>
    <w:rsid w:val="00C0101F"/>
    <w:rsid w:val="00CE019D"/>
    <w:rsid w:val="00D57650"/>
    <w:rsid w:val="00DA2B1E"/>
    <w:rsid w:val="00E35DCC"/>
    <w:rsid w:val="00E97D1F"/>
    <w:rsid w:val="00FA574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B3BDA-E296-4FA9-A938-94B520C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D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international-off</dc:creator>
  <cp:lastModifiedBy>Made Christin Dwitrayani</cp:lastModifiedBy>
  <cp:revision>12</cp:revision>
  <cp:lastPrinted>2017-01-06T02:53:00Z</cp:lastPrinted>
  <dcterms:created xsi:type="dcterms:W3CDTF">2021-01-19T06:47:00Z</dcterms:created>
  <dcterms:modified xsi:type="dcterms:W3CDTF">2021-06-10T06:12:00Z</dcterms:modified>
</cp:coreProperties>
</file>